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762F5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“乾元－开芯纳财”（双周）开放式</w:t>
      </w:r>
      <w:r w:rsidR="008D27D2" w:rsidRPr="008D27D2">
        <w:rPr>
          <w:rFonts w:ascii="彩虹粗仿宋" w:eastAsia="彩虹粗仿宋" w:hint="eastAsia"/>
          <w:b/>
          <w:color w:val="000000"/>
          <w:sz w:val="32"/>
          <w:szCs w:val="32"/>
        </w:rPr>
        <w:t>海外权益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C84035">
        <w:rPr>
          <w:rFonts w:ascii="彩虹粗仿宋" w:eastAsia="彩虹粗仿宋" w:hAnsi="宋体" w:hint="eastAsia"/>
          <w:color w:val="000000"/>
          <w:szCs w:val="21"/>
        </w:rPr>
        <w:t>4月30日</w:t>
      </w:r>
    </w:p>
    <w:p w:rsidR="00762F50" w:rsidRPr="00DE2106" w:rsidRDefault="00762F50" w:rsidP="00762F50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“乾元－开芯纳财”（双周）开放式</w:t>
      </w:r>
      <w:r w:rsidR="008D27D2" w:rsidRPr="008D27D2">
        <w:rPr>
          <w:rFonts w:ascii="彩虹粗仿宋" w:eastAsia="彩虹粗仿宋" w:hAnsi="宋体" w:hint="eastAsia"/>
          <w:color w:val="000000"/>
          <w:sz w:val="28"/>
          <w:szCs w:val="28"/>
        </w:rPr>
        <w:t>海外权益</w:t>
      </w: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式成立，首次开放日为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D5745">
        <w:rPr>
          <w:rFonts w:ascii="彩虹粗仿宋" w:eastAsia="彩虹粗仿宋" w:hAnsi="宋体" w:hint="eastAsia"/>
          <w:color w:val="000000"/>
          <w:sz w:val="28"/>
          <w:szCs w:val="28"/>
        </w:rPr>
        <w:t>5.</w:t>
      </w:r>
      <w:r w:rsidR="00C84035">
        <w:rPr>
          <w:rFonts w:ascii="彩虹粗仿宋" w:eastAsia="彩虹粗仿宋" w:hAnsi="宋体" w:hint="eastAsia"/>
          <w:color w:val="000000"/>
          <w:sz w:val="28"/>
          <w:szCs w:val="28"/>
        </w:rPr>
        <w:t>68</w:t>
      </w:r>
      <w:r w:rsidR="00955ECC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万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62F50" w:rsidRPr="00DE2106" w:rsidRDefault="00762F50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C84035">
        <w:rPr>
          <w:rFonts w:ascii="彩虹粗仿宋" w:eastAsia="彩虹粗仿宋" w:hAnsi="宋体" w:hint="eastAsia"/>
          <w:color w:val="000000"/>
          <w:sz w:val="28"/>
          <w:szCs w:val="28"/>
        </w:rPr>
        <w:t>4月30日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C84035" w:rsidRPr="00C84035">
        <w:rPr>
          <w:rFonts w:ascii="彩虹粗仿宋" w:eastAsia="彩虹粗仿宋" w:hAnsi="宋体"/>
          <w:color w:val="000000"/>
          <w:sz w:val="28"/>
          <w:szCs w:val="28"/>
        </w:rPr>
        <w:t>1.0047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  <w:bookmarkStart w:id="0" w:name="_GoBack"/>
      <w:bookmarkEnd w:id="0"/>
    </w:p>
    <w:p w:rsidR="00762F50" w:rsidRPr="00DE2106" w:rsidRDefault="00762F50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762F50" w:rsidRPr="0000530E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C84035">
        <w:rPr>
          <w:rFonts w:ascii="彩虹粗仿宋" w:eastAsia="彩虹粗仿宋" w:hAnsi="宋体" w:hint="eastAsia"/>
          <w:color w:val="000000"/>
          <w:sz w:val="28"/>
          <w:szCs w:val="28"/>
        </w:rPr>
        <w:t>4月30日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，本产品的资金实际全部投资于现金和公募基金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762F50" w:rsidRPr="00DE2106" w:rsidRDefault="00762F50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C84035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84035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DE2106" w:rsidRDefault="00762F50" w:rsidP="00762F50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10AFD"/>
    <w:rsid w:val="0001105A"/>
    <w:rsid w:val="00061A7C"/>
    <w:rsid w:val="00094136"/>
    <w:rsid w:val="000C067C"/>
    <w:rsid w:val="0013745B"/>
    <w:rsid w:val="0015322E"/>
    <w:rsid w:val="0019683F"/>
    <w:rsid w:val="001A2A48"/>
    <w:rsid w:val="001C48A5"/>
    <w:rsid w:val="001E2B8B"/>
    <w:rsid w:val="001F530C"/>
    <w:rsid w:val="00211394"/>
    <w:rsid w:val="00246909"/>
    <w:rsid w:val="002471CE"/>
    <w:rsid w:val="00263706"/>
    <w:rsid w:val="00283358"/>
    <w:rsid w:val="003246BF"/>
    <w:rsid w:val="003A1042"/>
    <w:rsid w:val="003F3A00"/>
    <w:rsid w:val="00414642"/>
    <w:rsid w:val="00416047"/>
    <w:rsid w:val="00432DDD"/>
    <w:rsid w:val="0047029D"/>
    <w:rsid w:val="004A5F57"/>
    <w:rsid w:val="004E25FF"/>
    <w:rsid w:val="004F4E3C"/>
    <w:rsid w:val="00531932"/>
    <w:rsid w:val="00560044"/>
    <w:rsid w:val="005C279B"/>
    <w:rsid w:val="005D5745"/>
    <w:rsid w:val="00680818"/>
    <w:rsid w:val="006A0C39"/>
    <w:rsid w:val="006C24A4"/>
    <w:rsid w:val="006D3839"/>
    <w:rsid w:val="006E24EB"/>
    <w:rsid w:val="007451D0"/>
    <w:rsid w:val="00762F50"/>
    <w:rsid w:val="007A6526"/>
    <w:rsid w:val="007D6C9E"/>
    <w:rsid w:val="00834FF2"/>
    <w:rsid w:val="008705A2"/>
    <w:rsid w:val="00887BC8"/>
    <w:rsid w:val="00897FB7"/>
    <w:rsid w:val="008D27D2"/>
    <w:rsid w:val="0090268E"/>
    <w:rsid w:val="009257D9"/>
    <w:rsid w:val="00954268"/>
    <w:rsid w:val="00955ECC"/>
    <w:rsid w:val="009B2063"/>
    <w:rsid w:val="00A14C2B"/>
    <w:rsid w:val="00A253D0"/>
    <w:rsid w:val="00A5249A"/>
    <w:rsid w:val="00A71EF1"/>
    <w:rsid w:val="00AC20B1"/>
    <w:rsid w:val="00B529D3"/>
    <w:rsid w:val="00BD772D"/>
    <w:rsid w:val="00C3743E"/>
    <w:rsid w:val="00C84035"/>
    <w:rsid w:val="00C85FE6"/>
    <w:rsid w:val="00CD35F5"/>
    <w:rsid w:val="00CE0691"/>
    <w:rsid w:val="00CE1BFA"/>
    <w:rsid w:val="00D00675"/>
    <w:rsid w:val="00D015CA"/>
    <w:rsid w:val="00D93778"/>
    <w:rsid w:val="00DC2C68"/>
    <w:rsid w:val="00DD7096"/>
    <w:rsid w:val="00DE550C"/>
    <w:rsid w:val="00E116B2"/>
    <w:rsid w:val="00E33614"/>
    <w:rsid w:val="00E813F9"/>
    <w:rsid w:val="00EA1C19"/>
    <w:rsid w:val="00F02441"/>
    <w:rsid w:val="00F737A6"/>
    <w:rsid w:val="00F814D5"/>
    <w:rsid w:val="00FB146E"/>
    <w:rsid w:val="00FB35E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蒋乾元</cp:lastModifiedBy>
  <cp:revision>6</cp:revision>
  <dcterms:created xsi:type="dcterms:W3CDTF">2018-03-20T07:10:00Z</dcterms:created>
  <dcterms:modified xsi:type="dcterms:W3CDTF">2018-05-07T07:32:00Z</dcterms:modified>
</cp:coreProperties>
</file>