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806" w:rsidRDefault="002C12FB" w:rsidP="00555806">
      <w:pPr>
        <w:jc w:val="center"/>
        <w:rPr>
          <w:b/>
          <w:color w:val="000000"/>
          <w:sz w:val="32"/>
          <w:szCs w:val="32"/>
        </w:rPr>
      </w:pPr>
      <w:bookmarkStart w:id="0" w:name="_GoBack"/>
      <w:bookmarkEnd w:id="0"/>
      <w:r w:rsidRPr="009378DF">
        <w:rPr>
          <w:rFonts w:hint="eastAsia"/>
          <w:b/>
          <w:color w:val="000000"/>
          <w:sz w:val="32"/>
          <w:szCs w:val="32"/>
        </w:rPr>
        <w:t xml:space="preserve"> </w:t>
      </w:r>
      <w:r w:rsidR="00555806" w:rsidRPr="009378DF">
        <w:rPr>
          <w:rFonts w:hint="eastAsia"/>
          <w:b/>
          <w:color w:val="000000"/>
          <w:sz w:val="32"/>
          <w:szCs w:val="32"/>
        </w:rPr>
        <w:t>“乾元—满溢”</w:t>
      </w:r>
      <w:r w:rsidR="00555806" w:rsidRPr="009378DF">
        <w:rPr>
          <w:rFonts w:hint="eastAsia"/>
          <w:b/>
          <w:color w:val="000000"/>
          <w:sz w:val="32"/>
          <w:szCs w:val="32"/>
        </w:rPr>
        <w:t>3</w:t>
      </w:r>
      <w:r w:rsidR="00555806">
        <w:rPr>
          <w:rFonts w:hint="eastAsia"/>
          <w:b/>
          <w:color w:val="000000"/>
          <w:sz w:val="32"/>
          <w:szCs w:val="32"/>
        </w:rPr>
        <w:t>6</w:t>
      </w:r>
      <w:r w:rsidR="00555806" w:rsidRPr="009378DF">
        <w:rPr>
          <w:rFonts w:hint="eastAsia"/>
          <w:b/>
          <w:color w:val="000000"/>
          <w:sz w:val="32"/>
          <w:szCs w:val="32"/>
        </w:rPr>
        <w:t>0</w:t>
      </w:r>
      <w:r w:rsidR="00555806" w:rsidRPr="009378DF">
        <w:rPr>
          <w:rFonts w:hint="eastAsia"/>
          <w:b/>
          <w:color w:val="000000"/>
          <w:sz w:val="32"/>
          <w:szCs w:val="32"/>
        </w:rPr>
        <w:t>天开放式资产组合型人民币理财产品</w:t>
      </w:r>
    </w:p>
    <w:p w:rsidR="00555806" w:rsidRPr="00EE774A" w:rsidRDefault="00555806" w:rsidP="00555806">
      <w:pPr>
        <w:jc w:val="center"/>
        <w:rPr>
          <w:b/>
          <w:color w:val="000000"/>
          <w:sz w:val="32"/>
          <w:szCs w:val="32"/>
        </w:rPr>
      </w:pPr>
      <w:r w:rsidRPr="009378DF">
        <w:rPr>
          <w:rFonts w:hint="eastAsia"/>
          <w:b/>
          <w:color w:val="000000"/>
          <w:sz w:val="32"/>
          <w:szCs w:val="32"/>
        </w:rPr>
        <w:t>（机构版）</w:t>
      </w:r>
      <w:r w:rsidRPr="00EE774A">
        <w:rPr>
          <w:rFonts w:hint="eastAsia"/>
          <w:b/>
          <w:color w:val="000000"/>
          <w:sz w:val="32"/>
          <w:szCs w:val="32"/>
        </w:rPr>
        <w:t>月度投资管理报告</w:t>
      </w:r>
    </w:p>
    <w:p w:rsidR="00555806" w:rsidRPr="00EE774A" w:rsidRDefault="00555806" w:rsidP="00555806">
      <w:pPr>
        <w:spacing w:line="480" w:lineRule="exact"/>
        <w:ind w:firstLineChars="200" w:firstLine="420"/>
        <w:jc w:val="center"/>
        <w:rPr>
          <w:rFonts w:ascii="宋体" w:hAnsi="宋体"/>
          <w:color w:val="000000"/>
          <w:szCs w:val="21"/>
        </w:rPr>
      </w:pPr>
      <w:r w:rsidRPr="00EE774A">
        <w:rPr>
          <w:rFonts w:ascii="宋体" w:hAnsi="宋体" w:hint="eastAsia"/>
          <w:color w:val="000000"/>
          <w:szCs w:val="21"/>
        </w:rPr>
        <w:t>报告日：201</w:t>
      </w:r>
      <w:r w:rsidR="00035553">
        <w:rPr>
          <w:rFonts w:ascii="宋体" w:hAnsi="宋体" w:hint="eastAsia"/>
          <w:color w:val="000000"/>
          <w:szCs w:val="21"/>
        </w:rPr>
        <w:t>8</w:t>
      </w:r>
      <w:r w:rsidRPr="00EE774A">
        <w:rPr>
          <w:rFonts w:ascii="宋体" w:hAnsi="宋体" w:hint="eastAsia"/>
          <w:color w:val="000000"/>
          <w:szCs w:val="21"/>
        </w:rPr>
        <w:t>年</w:t>
      </w:r>
      <w:r w:rsidR="00F50F30">
        <w:rPr>
          <w:rFonts w:ascii="宋体" w:hAnsi="宋体" w:hint="eastAsia"/>
          <w:color w:val="000000"/>
          <w:szCs w:val="21"/>
        </w:rPr>
        <w:t>1</w:t>
      </w:r>
      <w:r>
        <w:rPr>
          <w:rFonts w:ascii="宋体" w:hAnsi="宋体" w:hint="eastAsia"/>
          <w:color w:val="000000"/>
          <w:szCs w:val="21"/>
        </w:rPr>
        <w:t>月</w:t>
      </w:r>
      <w:r w:rsidR="00035553">
        <w:rPr>
          <w:rFonts w:ascii="宋体" w:hAnsi="宋体" w:hint="eastAsia"/>
          <w:color w:val="000000"/>
          <w:szCs w:val="21"/>
        </w:rPr>
        <w:t>31</w:t>
      </w:r>
      <w:r>
        <w:rPr>
          <w:rFonts w:ascii="宋体" w:hAnsi="宋体" w:hint="eastAsia"/>
          <w:color w:val="000000"/>
          <w:szCs w:val="21"/>
        </w:rPr>
        <w:t xml:space="preserve">日    </w:t>
      </w:r>
    </w:p>
    <w:p w:rsidR="00555806" w:rsidRPr="000A55B8" w:rsidRDefault="00555806" w:rsidP="00812F4C">
      <w:pPr>
        <w:ind w:firstLine="420"/>
        <w:rPr>
          <w:rFonts w:ascii="宋体" w:hAnsi="宋体"/>
          <w:color w:val="000000"/>
          <w:sz w:val="28"/>
          <w:szCs w:val="28"/>
        </w:rPr>
      </w:pPr>
      <w:r w:rsidRPr="000A55B8">
        <w:rPr>
          <w:rFonts w:ascii="宋体" w:hAnsi="宋体" w:hint="eastAsia"/>
          <w:color w:val="000000"/>
          <w:sz w:val="28"/>
          <w:szCs w:val="28"/>
        </w:rPr>
        <w:t>“乾元—满溢”3</w:t>
      </w:r>
      <w:r>
        <w:rPr>
          <w:rFonts w:ascii="宋体" w:hAnsi="宋体" w:hint="eastAsia"/>
          <w:color w:val="000000"/>
          <w:sz w:val="28"/>
          <w:szCs w:val="28"/>
        </w:rPr>
        <w:t>6</w:t>
      </w:r>
      <w:r w:rsidRPr="000A55B8">
        <w:rPr>
          <w:rFonts w:ascii="宋体" w:hAnsi="宋体" w:hint="eastAsia"/>
          <w:color w:val="000000"/>
          <w:sz w:val="28"/>
          <w:szCs w:val="28"/>
        </w:rPr>
        <w:t>0天开放式资产组合型人民币理财产品（机构版）</w:t>
      </w:r>
      <w:r w:rsidRPr="00EE774A">
        <w:rPr>
          <w:rFonts w:ascii="宋体" w:hAnsi="宋体" w:hint="eastAsia"/>
          <w:color w:val="000000"/>
          <w:sz w:val="28"/>
          <w:szCs w:val="28"/>
        </w:rPr>
        <w:t>于201</w:t>
      </w:r>
      <w:r>
        <w:rPr>
          <w:rFonts w:ascii="宋体" w:hAnsi="宋体" w:hint="eastAsia"/>
          <w:color w:val="000000"/>
          <w:sz w:val="28"/>
          <w:szCs w:val="28"/>
        </w:rPr>
        <w:t>7</w:t>
      </w:r>
      <w:r w:rsidRPr="00EE774A">
        <w:rPr>
          <w:rFonts w:ascii="宋体" w:hAnsi="宋体" w:hint="eastAsia"/>
          <w:color w:val="000000"/>
          <w:sz w:val="28"/>
          <w:szCs w:val="28"/>
        </w:rPr>
        <w:t>年</w:t>
      </w:r>
      <w:r>
        <w:rPr>
          <w:rFonts w:ascii="宋体" w:hAnsi="宋体" w:hint="eastAsia"/>
          <w:color w:val="000000"/>
          <w:sz w:val="28"/>
          <w:szCs w:val="28"/>
        </w:rPr>
        <w:t>9</w:t>
      </w:r>
      <w:r w:rsidRPr="00EE774A">
        <w:rPr>
          <w:rFonts w:ascii="宋体" w:hAnsi="宋体" w:hint="eastAsia"/>
          <w:color w:val="000000"/>
          <w:sz w:val="28"/>
          <w:szCs w:val="28"/>
        </w:rPr>
        <w:t>月</w:t>
      </w:r>
      <w:r>
        <w:rPr>
          <w:rFonts w:ascii="宋体" w:hAnsi="宋体" w:hint="eastAsia"/>
          <w:color w:val="000000"/>
          <w:sz w:val="28"/>
          <w:szCs w:val="28"/>
        </w:rPr>
        <w:t>15</w:t>
      </w:r>
      <w:r w:rsidRPr="00EE774A">
        <w:rPr>
          <w:rFonts w:ascii="宋体" w:hAnsi="宋体" w:hint="eastAsia"/>
          <w:color w:val="000000"/>
          <w:sz w:val="28"/>
          <w:szCs w:val="28"/>
        </w:rPr>
        <w:t>日正式成立。截至报告日，本产品规模为</w:t>
      </w:r>
      <w:r w:rsidRPr="00035553">
        <w:rPr>
          <w:rFonts w:ascii="宋体" w:hAnsi="宋体" w:hint="eastAsia"/>
          <w:color w:val="000000"/>
          <w:sz w:val="28"/>
          <w:szCs w:val="28"/>
        </w:rPr>
        <w:t xml:space="preserve">                                         </w:t>
      </w:r>
      <w:r w:rsidR="00035553" w:rsidRPr="00035553">
        <w:rPr>
          <w:rFonts w:ascii="宋体" w:hAnsi="宋体" w:hint="eastAsia"/>
          <w:color w:val="000000"/>
          <w:sz w:val="28"/>
          <w:szCs w:val="28"/>
        </w:rPr>
        <w:t>592,990,000.00</w:t>
      </w:r>
      <w:r w:rsidRPr="00585789">
        <w:rPr>
          <w:rFonts w:ascii="宋体" w:hAnsi="宋体" w:hint="eastAsia"/>
          <w:color w:val="000000"/>
          <w:sz w:val="28"/>
          <w:szCs w:val="28"/>
        </w:rPr>
        <w:t xml:space="preserve">元。  </w:t>
      </w:r>
    </w:p>
    <w:p w:rsidR="00555806" w:rsidRPr="00812F4C" w:rsidRDefault="00555806" w:rsidP="00812F4C">
      <w:pPr>
        <w:ind w:firstLine="420"/>
        <w:rPr>
          <w:rFonts w:ascii="宋体" w:hAnsi="宋体"/>
          <w:b/>
          <w:color w:val="000000"/>
          <w:sz w:val="28"/>
          <w:szCs w:val="28"/>
        </w:rPr>
      </w:pPr>
      <w:r w:rsidRPr="00812F4C">
        <w:rPr>
          <w:rFonts w:ascii="宋体" w:hAnsi="宋体" w:hint="eastAsia"/>
          <w:b/>
          <w:color w:val="000000"/>
          <w:sz w:val="28"/>
          <w:szCs w:val="28"/>
        </w:rPr>
        <w:t>一、报告期投资者实际收益率</w:t>
      </w:r>
    </w:p>
    <w:p w:rsidR="00035553" w:rsidRPr="00035553" w:rsidRDefault="00035553" w:rsidP="00812F4C">
      <w:pPr>
        <w:widowControl/>
        <w:spacing w:before="100" w:beforeAutospacing="1" w:after="100" w:afterAutospacing="1"/>
        <w:ind w:firstLine="420"/>
        <w:jc w:val="left"/>
        <w:rPr>
          <w:rFonts w:ascii="宋体" w:hAnsi="宋体"/>
          <w:color w:val="000000"/>
          <w:sz w:val="28"/>
          <w:szCs w:val="28"/>
        </w:rPr>
      </w:pPr>
      <w:r>
        <w:rPr>
          <w:rFonts w:ascii="宋体" w:hAnsi="宋体" w:hint="eastAsia"/>
          <w:color w:val="000000"/>
          <w:sz w:val="28"/>
          <w:szCs w:val="28"/>
        </w:rPr>
        <w:t>中国建设银行</w:t>
      </w:r>
      <w:r w:rsidRPr="00035553">
        <w:rPr>
          <w:rFonts w:ascii="宋体" w:hAnsi="宋体" w:hint="eastAsia"/>
          <w:color w:val="000000"/>
          <w:sz w:val="28"/>
          <w:szCs w:val="28"/>
        </w:rPr>
        <w:t>于</w:t>
      </w:r>
      <w:r w:rsidRPr="00035553">
        <w:rPr>
          <w:rFonts w:ascii="宋体" w:hAnsi="宋体"/>
          <w:color w:val="000000"/>
          <w:sz w:val="28"/>
          <w:szCs w:val="28"/>
        </w:rPr>
        <w:t>2018</w:t>
      </w:r>
      <w:r w:rsidRPr="00035553">
        <w:rPr>
          <w:rFonts w:ascii="宋体" w:hAnsi="宋体" w:hint="eastAsia"/>
          <w:color w:val="000000"/>
          <w:sz w:val="28"/>
          <w:szCs w:val="28"/>
        </w:rPr>
        <w:t>年</w:t>
      </w:r>
      <w:r w:rsidRPr="00035553">
        <w:rPr>
          <w:rFonts w:ascii="宋体" w:hAnsi="宋体"/>
          <w:color w:val="000000"/>
          <w:sz w:val="28"/>
          <w:szCs w:val="28"/>
        </w:rPr>
        <w:t>1</w:t>
      </w:r>
      <w:r w:rsidRPr="00035553">
        <w:rPr>
          <w:rFonts w:ascii="宋体" w:hAnsi="宋体" w:hint="eastAsia"/>
          <w:color w:val="000000"/>
          <w:sz w:val="28"/>
          <w:szCs w:val="28"/>
        </w:rPr>
        <w:t>月</w:t>
      </w:r>
      <w:r w:rsidRPr="00035553">
        <w:rPr>
          <w:rFonts w:ascii="宋体" w:hAnsi="宋体"/>
          <w:color w:val="000000"/>
          <w:sz w:val="28"/>
          <w:szCs w:val="28"/>
        </w:rPr>
        <w:t>22</w:t>
      </w:r>
      <w:r w:rsidRPr="00035553">
        <w:rPr>
          <w:rFonts w:ascii="宋体" w:hAnsi="宋体" w:hint="eastAsia"/>
          <w:color w:val="000000"/>
          <w:sz w:val="28"/>
          <w:szCs w:val="28"/>
        </w:rPr>
        <w:t>日（含）起，调整</w:t>
      </w:r>
      <w:r w:rsidRPr="00035553">
        <w:rPr>
          <w:rFonts w:ascii="宋体" w:hAnsi="宋体"/>
          <w:color w:val="000000"/>
          <w:sz w:val="28"/>
          <w:szCs w:val="28"/>
        </w:rPr>
        <w:t>“</w:t>
      </w:r>
      <w:r w:rsidRPr="00035553">
        <w:rPr>
          <w:rFonts w:ascii="宋体" w:hAnsi="宋体" w:hint="eastAsia"/>
          <w:color w:val="000000"/>
          <w:sz w:val="28"/>
          <w:szCs w:val="28"/>
        </w:rPr>
        <w:t>乾元</w:t>
      </w:r>
      <w:r w:rsidRPr="00035553">
        <w:rPr>
          <w:rFonts w:ascii="宋体" w:hAnsi="宋体"/>
          <w:color w:val="000000"/>
          <w:sz w:val="28"/>
          <w:szCs w:val="28"/>
        </w:rPr>
        <w:t>—</w:t>
      </w:r>
      <w:r w:rsidRPr="00035553">
        <w:rPr>
          <w:rFonts w:ascii="宋体" w:hAnsi="宋体" w:hint="eastAsia"/>
          <w:color w:val="000000"/>
          <w:sz w:val="28"/>
          <w:szCs w:val="28"/>
        </w:rPr>
        <w:t>满溢</w:t>
      </w:r>
      <w:r w:rsidRPr="00035553">
        <w:rPr>
          <w:rFonts w:ascii="宋体" w:hAnsi="宋体"/>
          <w:color w:val="000000"/>
          <w:sz w:val="28"/>
          <w:szCs w:val="28"/>
        </w:rPr>
        <w:t>”360</w:t>
      </w:r>
      <w:r w:rsidRPr="00035553">
        <w:rPr>
          <w:rFonts w:ascii="宋体" w:hAnsi="宋体" w:hint="eastAsia"/>
          <w:color w:val="000000"/>
          <w:sz w:val="28"/>
          <w:szCs w:val="28"/>
        </w:rPr>
        <w:t>天开放式资产组合型人民币理财产品（机构版）客户预期年化收益率，具体如下表：</w:t>
      </w:r>
    </w:p>
    <w:tbl>
      <w:tblPr>
        <w:tblW w:w="5000" w:type="pct"/>
        <w:tblCellMar>
          <w:top w:w="15" w:type="dxa"/>
          <w:left w:w="15" w:type="dxa"/>
          <w:bottom w:w="15" w:type="dxa"/>
          <w:right w:w="15" w:type="dxa"/>
        </w:tblCellMar>
        <w:tblLook w:val="04A0" w:firstRow="1" w:lastRow="0" w:firstColumn="1" w:lastColumn="0" w:noHBand="0" w:noVBand="1"/>
      </w:tblPr>
      <w:tblGrid>
        <w:gridCol w:w="1105"/>
        <w:gridCol w:w="3645"/>
        <w:gridCol w:w="3643"/>
        <w:gridCol w:w="36"/>
      </w:tblGrid>
      <w:tr w:rsidR="00035553" w:rsidRPr="00035553" w:rsidTr="00035553">
        <w:trPr>
          <w:trHeight w:val="444"/>
        </w:trPr>
        <w:tc>
          <w:tcPr>
            <w:tcW w:w="65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5553" w:rsidRPr="00035553" w:rsidRDefault="00035553" w:rsidP="00812F4C">
            <w:r w:rsidRPr="00035553">
              <w:rPr>
                <w:rFonts w:hint="eastAsia"/>
              </w:rPr>
              <w:t>档期设置</w:t>
            </w:r>
          </w:p>
        </w:tc>
        <w:tc>
          <w:tcPr>
            <w:tcW w:w="217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5553" w:rsidRPr="00035553" w:rsidRDefault="00035553" w:rsidP="00812F4C">
            <w:r w:rsidRPr="00035553">
              <w:rPr>
                <w:rFonts w:hint="eastAsia"/>
              </w:rPr>
              <w:t>客户预期年化收益率（调整前）</w:t>
            </w:r>
          </w:p>
        </w:tc>
        <w:tc>
          <w:tcPr>
            <w:tcW w:w="217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35553" w:rsidRPr="00035553" w:rsidRDefault="00035553" w:rsidP="00812F4C">
            <w:r w:rsidRPr="00035553">
              <w:rPr>
                <w:rFonts w:hint="eastAsia"/>
              </w:rPr>
              <w:t>客户预期年化收益率（调整后）</w:t>
            </w:r>
          </w:p>
        </w:tc>
        <w:tc>
          <w:tcPr>
            <w:tcW w:w="6" w:type="dxa"/>
            <w:vAlign w:val="center"/>
            <w:hideMark/>
          </w:tcPr>
          <w:p w:rsidR="00035553" w:rsidRPr="00035553" w:rsidRDefault="00035553" w:rsidP="00812F4C"/>
        </w:tc>
      </w:tr>
      <w:tr w:rsidR="00035553" w:rsidRPr="00035553" w:rsidTr="00035553">
        <w:trPr>
          <w:trHeight w:val="312"/>
        </w:trPr>
        <w:tc>
          <w:tcPr>
            <w:tcW w:w="0" w:type="auto"/>
            <w:vMerge/>
            <w:tcBorders>
              <w:top w:val="single" w:sz="8" w:space="0" w:color="auto"/>
              <w:left w:val="single" w:sz="8" w:space="0" w:color="auto"/>
              <w:bottom w:val="single" w:sz="8" w:space="0" w:color="auto"/>
              <w:right w:val="single" w:sz="8" w:space="0" w:color="auto"/>
            </w:tcBorders>
            <w:vAlign w:val="center"/>
            <w:hideMark/>
          </w:tcPr>
          <w:p w:rsidR="00035553" w:rsidRPr="00035553" w:rsidRDefault="00035553" w:rsidP="00812F4C"/>
        </w:tc>
        <w:tc>
          <w:tcPr>
            <w:tcW w:w="0" w:type="auto"/>
            <w:vMerge/>
            <w:tcBorders>
              <w:top w:val="single" w:sz="8" w:space="0" w:color="auto"/>
              <w:left w:val="nil"/>
              <w:bottom w:val="single" w:sz="8" w:space="0" w:color="auto"/>
              <w:right w:val="single" w:sz="8" w:space="0" w:color="auto"/>
            </w:tcBorders>
            <w:vAlign w:val="center"/>
            <w:hideMark/>
          </w:tcPr>
          <w:p w:rsidR="00035553" w:rsidRPr="00035553" w:rsidRDefault="00035553" w:rsidP="00812F4C"/>
        </w:tc>
        <w:tc>
          <w:tcPr>
            <w:tcW w:w="0" w:type="auto"/>
            <w:vMerge/>
            <w:tcBorders>
              <w:top w:val="single" w:sz="8" w:space="0" w:color="auto"/>
              <w:left w:val="nil"/>
              <w:bottom w:val="single" w:sz="8" w:space="0" w:color="auto"/>
              <w:right w:val="single" w:sz="8" w:space="0" w:color="auto"/>
            </w:tcBorders>
            <w:vAlign w:val="center"/>
            <w:hideMark/>
          </w:tcPr>
          <w:p w:rsidR="00035553" w:rsidRPr="00035553" w:rsidRDefault="00035553" w:rsidP="00812F4C"/>
        </w:tc>
        <w:tc>
          <w:tcPr>
            <w:tcW w:w="6" w:type="dxa"/>
            <w:vAlign w:val="center"/>
            <w:hideMark/>
          </w:tcPr>
          <w:p w:rsidR="00035553" w:rsidRPr="00035553" w:rsidRDefault="00035553" w:rsidP="00812F4C"/>
        </w:tc>
      </w:tr>
      <w:tr w:rsidR="00035553" w:rsidRPr="00035553" w:rsidTr="00035553">
        <w:trPr>
          <w:trHeight w:val="312"/>
        </w:trPr>
        <w:tc>
          <w:tcPr>
            <w:tcW w:w="65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35553" w:rsidRPr="00035553" w:rsidRDefault="00035553" w:rsidP="00812F4C">
            <w:r w:rsidRPr="00035553">
              <w:t>360</w:t>
            </w:r>
            <w:r w:rsidRPr="00035553">
              <w:rPr>
                <w:rFonts w:hint="eastAsia"/>
              </w:rPr>
              <w:t>天</w:t>
            </w:r>
          </w:p>
        </w:tc>
        <w:tc>
          <w:tcPr>
            <w:tcW w:w="21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5553" w:rsidRPr="00035553" w:rsidRDefault="00035553" w:rsidP="00812F4C">
            <w:r w:rsidRPr="00035553">
              <w:t>4.80%</w:t>
            </w:r>
          </w:p>
        </w:tc>
        <w:tc>
          <w:tcPr>
            <w:tcW w:w="21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035553" w:rsidRPr="00035553" w:rsidRDefault="00035553" w:rsidP="00812F4C">
            <w:r w:rsidRPr="00035553">
              <w:t>5.05%</w:t>
            </w:r>
          </w:p>
        </w:tc>
        <w:tc>
          <w:tcPr>
            <w:tcW w:w="6" w:type="dxa"/>
            <w:vAlign w:val="center"/>
            <w:hideMark/>
          </w:tcPr>
          <w:p w:rsidR="00035553" w:rsidRPr="00035553" w:rsidRDefault="00035553" w:rsidP="00812F4C"/>
        </w:tc>
      </w:tr>
    </w:tbl>
    <w:p w:rsidR="00812F4C" w:rsidRDefault="00035553" w:rsidP="00812F4C">
      <w:pPr>
        <w:widowControl/>
        <w:spacing w:before="100" w:beforeAutospacing="1" w:after="100" w:afterAutospacing="1"/>
        <w:ind w:firstLine="420"/>
        <w:jc w:val="left"/>
        <w:rPr>
          <w:rFonts w:ascii="宋体" w:hAnsi="宋体"/>
          <w:color w:val="000000"/>
          <w:sz w:val="28"/>
          <w:szCs w:val="28"/>
        </w:rPr>
      </w:pPr>
      <w:r w:rsidRPr="00035553">
        <w:rPr>
          <w:rFonts w:ascii="宋体" w:hAnsi="宋体" w:hint="eastAsia"/>
          <w:color w:val="000000"/>
          <w:sz w:val="28"/>
          <w:szCs w:val="28"/>
        </w:rPr>
        <w:t>新客户预期年化收益率于</w:t>
      </w:r>
      <w:r w:rsidRPr="00035553">
        <w:rPr>
          <w:rFonts w:ascii="宋体" w:hAnsi="宋体"/>
          <w:color w:val="000000"/>
          <w:sz w:val="28"/>
          <w:szCs w:val="28"/>
        </w:rPr>
        <w:t>2018</w:t>
      </w:r>
      <w:r w:rsidRPr="00035553">
        <w:rPr>
          <w:rFonts w:ascii="宋体" w:hAnsi="宋体" w:hint="eastAsia"/>
          <w:color w:val="000000"/>
          <w:sz w:val="28"/>
          <w:szCs w:val="28"/>
        </w:rPr>
        <w:t>年</w:t>
      </w:r>
      <w:r w:rsidRPr="00035553">
        <w:rPr>
          <w:rFonts w:ascii="宋体" w:hAnsi="宋体"/>
          <w:color w:val="000000"/>
          <w:sz w:val="28"/>
          <w:szCs w:val="28"/>
        </w:rPr>
        <w:t>1</w:t>
      </w:r>
      <w:r w:rsidRPr="00035553">
        <w:rPr>
          <w:rFonts w:ascii="宋体" w:hAnsi="宋体" w:hint="eastAsia"/>
          <w:color w:val="000000"/>
          <w:sz w:val="28"/>
          <w:szCs w:val="28"/>
        </w:rPr>
        <w:t>月</w:t>
      </w:r>
      <w:r w:rsidRPr="00035553">
        <w:rPr>
          <w:rFonts w:ascii="宋体" w:hAnsi="宋体"/>
          <w:color w:val="000000"/>
          <w:sz w:val="28"/>
          <w:szCs w:val="28"/>
        </w:rPr>
        <w:t>22</w:t>
      </w:r>
      <w:r w:rsidRPr="00035553">
        <w:rPr>
          <w:rFonts w:ascii="宋体" w:hAnsi="宋体" w:hint="eastAsia"/>
          <w:color w:val="000000"/>
          <w:sz w:val="28"/>
          <w:szCs w:val="28"/>
        </w:rPr>
        <w:t>日（含）起执行。对于</w:t>
      </w:r>
      <w:r w:rsidRPr="00035553">
        <w:rPr>
          <w:rFonts w:ascii="宋体" w:hAnsi="宋体"/>
          <w:color w:val="000000"/>
          <w:sz w:val="28"/>
          <w:szCs w:val="28"/>
        </w:rPr>
        <w:t>2018</w:t>
      </w:r>
      <w:r w:rsidRPr="00035553">
        <w:rPr>
          <w:rFonts w:ascii="宋体" w:hAnsi="宋体" w:hint="eastAsia"/>
          <w:color w:val="000000"/>
          <w:sz w:val="28"/>
          <w:szCs w:val="28"/>
        </w:rPr>
        <w:t>年</w:t>
      </w:r>
      <w:r w:rsidRPr="00035553">
        <w:rPr>
          <w:rFonts w:ascii="宋体" w:hAnsi="宋体"/>
          <w:color w:val="000000"/>
          <w:sz w:val="28"/>
          <w:szCs w:val="28"/>
        </w:rPr>
        <w:t>1</w:t>
      </w:r>
      <w:r w:rsidRPr="00035553">
        <w:rPr>
          <w:rFonts w:ascii="宋体" w:hAnsi="宋体" w:hint="eastAsia"/>
          <w:color w:val="000000"/>
          <w:sz w:val="28"/>
          <w:szCs w:val="28"/>
        </w:rPr>
        <w:t>月</w:t>
      </w:r>
      <w:r w:rsidRPr="00035553">
        <w:rPr>
          <w:rFonts w:ascii="宋体" w:hAnsi="宋体"/>
          <w:color w:val="000000"/>
          <w:sz w:val="28"/>
          <w:szCs w:val="28"/>
        </w:rPr>
        <w:t>22</w:t>
      </w:r>
      <w:r w:rsidRPr="00035553">
        <w:rPr>
          <w:rFonts w:ascii="宋体" w:hAnsi="宋体" w:hint="eastAsia"/>
          <w:color w:val="000000"/>
          <w:sz w:val="28"/>
          <w:szCs w:val="28"/>
        </w:rPr>
        <w:t>日（不含）前已经购买成功且未赎回的存量投资本金，其中封闭期内的份额仍按照购买确认日当日的客户预期年化收益率计算投资收益，非封闭期内的份额从</w:t>
      </w:r>
      <w:r w:rsidRPr="00035553">
        <w:rPr>
          <w:rFonts w:ascii="宋体" w:hAnsi="宋体"/>
          <w:color w:val="000000"/>
          <w:sz w:val="28"/>
          <w:szCs w:val="28"/>
        </w:rPr>
        <w:t>2018</w:t>
      </w:r>
      <w:r w:rsidRPr="00035553">
        <w:rPr>
          <w:rFonts w:ascii="宋体" w:hAnsi="宋体" w:hint="eastAsia"/>
          <w:color w:val="000000"/>
          <w:sz w:val="28"/>
          <w:szCs w:val="28"/>
        </w:rPr>
        <w:t>年</w:t>
      </w:r>
      <w:r w:rsidRPr="00035553">
        <w:rPr>
          <w:rFonts w:ascii="宋体" w:hAnsi="宋体"/>
          <w:color w:val="000000"/>
          <w:sz w:val="28"/>
          <w:szCs w:val="28"/>
        </w:rPr>
        <w:t>1</w:t>
      </w:r>
      <w:r w:rsidRPr="00035553">
        <w:rPr>
          <w:rFonts w:ascii="宋体" w:hAnsi="宋体" w:hint="eastAsia"/>
          <w:color w:val="000000"/>
          <w:sz w:val="28"/>
          <w:szCs w:val="28"/>
        </w:rPr>
        <w:t>月</w:t>
      </w:r>
      <w:r w:rsidRPr="00035553">
        <w:rPr>
          <w:rFonts w:ascii="宋体" w:hAnsi="宋体"/>
          <w:color w:val="000000"/>
          <w:sz w:val="28"/>
          <w:szCs w:val="28"/>
        </w:rPr>
        <w:t>22</w:t>
      </w:r>
      <w:r w:rsidRPr="00035553">
        <w:rPr>
          <w:rFonts w:ascii="宋体" w:hAnsi="宋体" w:hint="eastAsia"/>
          <w:color w:val="000000"/>
          <w:sz w:val="28"/>
          <w:szCs w:val="28"/>
        </w:rPr>
        <w:t>日（含）起按调整后的预期年化收益率计算投资收益。</w:t>
      </w:r>
      <w:r w:rsidRPr="00035553">
        <w:rPr>
          <w:rFonts w:ascii="宋体" w:hAnsi="宋体"/>
          <w:color w:val="000000"/>
          <w:sz w:val="28"/>
          <w:szCs w:val="28"/>
        </w:rPr>
        <w:t>2018</w:t>
      </w:r>
      <w:r w:rsidRPr="00035553">
        <w:rPr>
          <w:rFonts w:ascii="宋体" w:hAnsi="宋体" w:hint="eastAsia"/>
          <w:color w:val="000000"/>
          <w:sz w:val="28"/>
          <w:szCs w:val="28"/>
        </w:rPr>
        <w:t>年</w:t>
      </w:r>
      <w:r w:rsidRPr="00035553">
        <w:rPr>
          <w:rFonts w:ascii="宋体" w:hAnsi="宋体"/>
          <w:color w:val="000000"/>
          <w:sz w:val="28"/>
          <w:szCs w:val="28"/>
        </w:rPr>
        <w:t>1</w:t>
      </w:r>
      <w:r w:rsidRPr="00035553">
        <w:rPr>
          <w:rFonts w:ascii="宋体" w:hAnsi="宋体" w:hint="eastAsia"/>
          <w:color w:val="000000"/>
          <w:sz w:val="28"/>
          <w:szCs w:val="28"/>
        </w:rPr>
        <w:t>月</w:t>
      </w:r>
      <w:r w:rsidRPr="00035553">
        <w:rPr>
          <w:rFonts w:ascii="宋体" w:hAnsi="宋体"/>
          <w:color w:val="000000"/>
          <w:sz w:val="28"/>
          <w:szCs w:val="28"/>
        </w:rPr>
        <w:t>22</w:t>
      </w:r>
      <w:r w:rsidRPr="00035553">
        <w:rPr>
          <w:rFonts w:ascii="宋体" w:hAnsi="宋体" w:hint="eastAsia"/>
          <w:color w:val="000000"/>
          <w:sz w:val="28"/>
          <w:szCs w:val="28"/>
        </w:rPr>
        <w:t>日（含）后购买的部分自动执行调整后的客户预期年化收益率。但前述情形下的最终投资收益均以我行最终支付的实际年化收益率为准。</w:t>
      </w:r>
    </w:p>
    <w:p w:rsidR="00555806" w:rsidRPr="00EE774A" w:rsidRDefault="00555806" w:rsidP="00812F4C">
      <w:pPr>
        <w:widowControl/>
        <w:spacing w:before="100" w:beforeAutospacing="1" w:after="100" w:afterAutospacing="1"/>
        <w:ind w:firstLine="420"/>
        <w:jc w:val="left"/>
        <w:rPr>
          <w:rFonts w:ascii="宋体" w:hAnsi="宋体"/>
          <w:color w:val="000000"/>
          <w:sz w:val="28"/>
          <w:szCs w:val="28"/>
        </w:rPr>
      </w:pPr>
      <w:r w:rsidRPr="009E0E2D">
        <w:rPr>
          <w:rFonts w:ascii="宋体" w:hAnsi="宋体" w:hint="eastAsia"/>
          <w:color w:val="000000"/>
          <w:sz w:val="28"/>
          <w:szCs w:val="28"/>
        </w:rPr>
        <w:t>相关</w:t>
      </w:r>
      <w:r w:rsidRPr="00EE774A">
        <w:rPr>
          <w:rFonts w:ascii="宋体" w:hAnsi="宋体" w:hint="eastAsia"/>
          <w:color w:val="000000"/>
          <w:sz w:val="28"/>
          <w:szCs w:val="28"/>
        </w:rPr>
        <w:t>收益及计算方法，请具体查阅对应的收益率调整公告及产品说明书。</w:t>
      </w:r>
    </w:p>
    <w:p w:rsidR="00555806" w:rsidRPr="00EE774A" w:rsidRDefault="00555806" w:rsidP="00555806">
      <w:pPr>
        <w:spacing w:line="480" w:lineRule="exact"/>
        <w:ind w:firstLineChars="200" w:firstLine="562"/>
        <w:outlineLvl w:val="0"/>
        <w:rPr>
          <w:rFonts w:ascii="宋体" w:hAnsi="宋体"/>
          <w:b/>
          <w:color w:val="000000"/>
          <w:sz w:val="28"/>
          <w:szCs w:val="28"/>
        </w:rPr>
      </w:pPr>
      <w:r w:rsidRPr="00EE774A">
        <w:rPr>
          <w:rFonts w:ascii="宋体" w:hAnsi="宋体" w:hint="eastAsia"/>
          <w:b/>
          <w:color w:val="000000"/>
          <w:sz w:val="28"/>
          <w:szCs w:val="28"/>
        </w:rPr>
        <w:lastRenderedPageBreak/>
        <w:t>二、产品投资组合详细情况</w:t>
      </w:r>
    </w:p>
    <w:p w:rsidR="00555806" w:rsidRPr="00EE774A" w:rsidRDefault="00555806" w:rsidP="00555806">
      <w:pPr>
        <w:spacing w:line="480" w:lineRule="exact"/>
        <w:ind w:firstLineChars="200" w:firstLine="562"/>
        <w:outlineLvl w:val="0"/>
        <w:rPr>
          <w:rFonts w:ascii="宋体" w:hAnsi="宋体"/>
          <w:b/>
          <w:color w:val="000000"/>
          <w:sz w:val="28"/>
          <w:szCs w:val="28"/>
        </w:rPr>
      </w:pPr>
      <w:r w:rsidRPr="00EE774A">
        <w:rPr>
          <w:rFonts w:ascii="宋体" w:hAnsi="宋体" w:hint="eastAsia"/>
          <w:b/>
          <w:color w:val="000000"/>
          <w:sz w:val="28"/>
          <w:szCs w:val="28"/>
        </w:rPr>
        <w:t>（一）投资组合的基本情况</w:t>
      </w:r>
    </w:p>
    <w:p w:rsidR="00555806" w:rsidRPr="00EE774A" w:rsidRDefault="00812F4C" w:rsidP="00555806">
      <w:pPr>
        <w:jc w:val="center"/>
        <w:rPr>
          <w:rFonts w:ascii="宋体" w:hAnsi="宋体"/>
          <w:color w:val="000000"/>
          <w:sz w:val="28"/>
          <w:szCs w:val="28"/>
        </w:rPr>
      </w:pPr>
      <w:r>
        <w:rPr>
          <w:noProof/>
        </w:rPr>
        <w:drawing>
          <wp:inline distT="0" distB="0" distL="0" distR="0" wp14:anchorId="66CE6C10" wp14:editId="65D85BD4">
            <wp:extent cx="3876675" cy="1933575"/>
            <wp:effectExtent l="38100" t="0" r="952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55806" w:rsidRPr="00EE774A" w:rsidRDefault="00555806" w:rsidP="00555806">
      <w:pPr>
        <w:spacing w:line="480" w:lineRule="exact"/>
        <w:ind w:firstLineChars="146" w:firstLine="410"/>
        <w:outlineLvl w:val="0"/>
        <w:rPr>
          <w:rFonts w:ascii="宋体" w:hAnsi="宋体"/>
          <w:b/>
          <w:color w:val="000000"/>
          <w:sz w:val="28"/>
          <w:szCs w:val="28"/>
        </w:rPr>
      </w:pPr>
      <w:r>
        <w:rPr>
          <w:rFonts w:ascii="宋体" w:hAnsi="宋体" w:hint="eastAsia"/>
          <w:b/>
          <w:color w:val="000000"/>
          <w:sz w:val="28"/>
          <w:szCs w:val="28"/>
        </w:rPr>
        <w:t xml:space="preserve"> </w:t>
      </w:r>
      <w:r w:rsidRPr="00EE774A">
        <w:rPr>
          <w:rFonts w:ascii="宋体" w:hAnsi="宋体" w:hint="eastAsia"/>
          <w:b/>
          <w:color w:val="000000"/>
          <w:sz w:val="28"/>
          <w:szCs w:val="28"/>
        </w:rPr>
        <w:t>（二）融资类资产的行内评级构成</w:t>
      </w:r>
    </w:p>
    <w:p w:rsidR="00555806" w:rsidRPr="00EE774A" w:rsidRDefault="00812F4C" w:rsidP="00555806">
      <w:pPr>
        <w:jc w:val="center"/>
        <w:rPr>
          <w:rFonts w:ascii="宋体" w:hAnsi="宋体"/>
          <w:color w:val="000000"/>
          <w:sz w:val="28"/>
          <w:szCs w:val="28"/>
        </w:rPr>
      </w:pPr>
      <w:r>
        <w:rPr>
          <w:noProof/>
        </w:rPr>
        <w:drawing>
          <wp:inline distT="0" distB="0" distL="0" distR="0" wp14:anchorId="099C5476" wp14:editId="1B6B78E2">
            <wp:extent cx="4010025" cy="2457450"/>
            <wp:effectExtent l="0" t="0" r="9525"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85789" w:rsidRPr="00EE774A" w:rsidRDefault="00585789" w:rsidP="00585789">
      <w:pPr>
        <w:spacing w:line="480" w:lineRule="exact"/>
        <w:ind w:firstLineChars="200" w:firstLine="562"/>
        <w:outlineLvl w:val="0"/>
        <w:rPr>
          <w:rFonts w:ascii="宋体" w:hAnsi="宋体"/>
          <w:b/>
          <w:color w:val="000000"/>
          <w:sz w:val="28"/>
          <w:szCs w:val="28"/>
        </w:rPr>
      </w:pPr>
      <w:r w:rsidRPr="00C75BE9">
        <w:rPr>
          <w:rFonts w:ascii="宋体" w:hAnsi="宋体" w:hint="eastAsia"/>
          <w:b/>
          <w:color w:val="000000"/>
          <w:sz w:val="28"/>
          <w:szCs w:val="28"/>
        </w:rPr>
        <w:t>（三</w:t>
      </w:r>
      <w:r w:rsidRPr="00C75BE9">
        <w:rPr>
          <w:rFonts w:ascii="宋体" w:hAnsi="宋体"/>
          <w:b/>
          <w:color w:val="000000"/>
          <w:sz w:val="28"/>
          <w:szCs w:val="28"/>
        </w:rPr>
        <w:t>）</w:t>
      </w:r>
      <w:r w:rsidRPr="007F5088">
        <w:rPr>
          <w:rFonts w:ascii="宋体" w:hAnsi="宋体" w:hint="eastAsia"/>
          <w:b/>
          <w:color w:val="000000"/>
          <w:sz w:val="28"/>
          <w:szCs w:val="28"/>
        </w:rPr>
        <w:t>融资类资产的行业占比构成及当月增减变化情况</w:t>
      </w:r>
    </w:p>
    <w:p w:rsidR="00555806" w:rsidRPr="005622F6" w:rsidRDefault="00A16E7A" w:rsidP="00555806">
      <w:pPr>
        <w:ind w:right="-58"/>
        <w:jc w:val="center"/>
        <w:rPr>
          <w:rFonts w:ascii="宋体" w:hAnsi="宋体"/>
          <w:color w:val="000000"/>
          <w:sz w:val="28"/>
          <w:szCs w:val="28"/>
        </w:rPr>
      </w:pPr>
      <w:r>
        <w:rPr>
          <w:noProof/>
        </w:rPr>
        <w:drawing>
          <wp:inline distT="0" distB="0" distL="0" distR="0" wp14:anchorId="4B32E21F" wp14:editId="4113A323">
            <wp:extent cx="5095875" cy="2743200"/>
            <wp:effectExtent l="0" t="0" r="9525"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5806" w:rsidRPr="00EE774A" w:rsidRDefault="00555806" w:rsidP="00555806">
      <w:pPr>
        <w:spacing w:line="480" w:lineRule="exact"/>
        <w:ind w:firstLineChars="200" w:firstLine="562"/>
        <w:outlineLvl w:val="0"/>
        <w:rPr>
          <w:rFonts w:ascii="宋体" w:hAnsi="宋体"/>
          <w:color w:val="000000"/>
          <w:sz w:val="28"/>
          <w:szCs w:val="28"/>
        </w:rPr>
      </w:pPr>
      <w:r w:rsidRPr="00986C29">
        <w:rPr>
          <w:rFonts w:ascii="宋体" w:hAnsi="宋体" w:hint="eastAsia"/>
          <w:b/>
          <w:color w:val="000000"/>
          <w:sz w:val="28"/>
          <w:szCs w:val="28"/>
        </w:rPr>
        <w:t>三、</w:t>
      </w:r>
      <w:r w:rsidRPr="00EE774A">
        <w:rPr>
          <w:rFonts w:ascii="宋体" w:hAnsi="宋体" w:hint="eastAsia"/>
          <w:b/>
          <w:color w:val="000000"/>
          <w:sz w:val="28"/>
          <w:szCs w:val="28"/>
        </w:rPr>
        <w:t>产品整体运作情况</w:t>
      </w:r>
    </w:p>
    <w:p w:rsidR="00555806" w:rsidRPr="00EE774A" w:rsidRDefault="00555806" w:rsidP="00555806">
      <w:pPr>
        <w:spacing w:line="480" w:lineRule="exact"/>
        <w:ind w:firstLineChars="150" w:firstLine="420"/>
        <w:rPr>
          <w:rFonts w:ascii="宋体" w:hAnsi="宋体"/>
          <w:color w:val="000000"/>
          <w:sz w:val="28"/>
          <w:szCs w:val="28"/>
        </w:rPr>
      </w:pPr>
      <w:r w:rsidRPr="00EE774A">
        <w:rPr>
          <w:rFonts w:ascii="宋体" w:hAnsi="宋体" w:hint="eastAsia"/>
          <w:color w:val="000000"/>
          <w:sz w:val="28"/>
          <w:szCs w:val="28"/>
        </w:rPr>
        <w:lastRenderedPageBreak/>
        <w:t>（1）自本产品成立起至本报告日，产品管理人恪尽职守、勤勉尽责、谨慎管理，忠实履行有关法律、行政法规和相关文件的规定。</w:t>
      </w:r>
    </w:p>
    <w:p w:rsidR="00555806" w:rsidRPr="00EE774A" w:rsidRDefault="00555806" w:rsidP="00555806">
      <w:pPr>
        <w:spacing w:line="480" w:lineRule="exact"/>
        <w:ind w:firstLineChars="150" w:firstLine="420"/>
        <w:rPr>
          <w:rFonts w:ascii="宋体" w:hAnsi="宋体"/>
          <w:color w:val="000000"/>
          <w:sz w:val="28"/>
          <w:szCs w:val="28"/>
        </w:rPr>
      </w:pPr>
      <w:r w:rsidRPr="00EE774A">
        <w:rPr>
          <w:rFonts w:ascii="宋体" w:hAnsi="宋体" w:hint="eastAsia"/>
          <w:color w:val="000000"/>
          <w:sz w:val="28"/>
          <w:szCs w:val="28"/>
        </w:rPr>
        <w:t>（2）截至本报告日，所有投资资产正常运营，未发现有异常情况或者不利情况。</w:t>
      </w:r>
    </w:p>
    <w:p w:rsidR="00555806" w:rsidRPr="00EE774A" w:rsidRDefault="00555806" w:rsidP="00555806">
      <w:pPr>
        <w:spacing w:line="480" w:lineRule="exact"/>
        <w:ind w:firstLineChars="150" w:firstLine="420"/>
        <w:rPr>
          <w:rFonts w:ascii="宋体" w:hAnsi="宋体"/>
          <w:color w:val="000000"/>
          <w:sz w:val="28"/>
          <w:szCs w:val="28"/>
        </w:rPr>
      </w:pPr>
      <w:r w:rsidRPr="00EE774A">
        <w:rPr>
          <w:rFonts w:ascii="宋体" w:hAnsi="宋体" w:hint="eastAsia"/>
          <w:color w:val="000000"/>
          <w:sz w:val="28"/>
          <w:szCs w:val="28"/>
        </w:rPr>
        <w:t>（3）本产品自成立至本报告日，没有发生涉诉及诉讼等损害投资者利益的情形。</w:t>
      </w:r>
    </w:p>
    <w:p w:rsidR="00555806" w:rsidRPr="00EE774A" w:rsidRDefault="00555806" w:rsidP="00555806">
      <w:pPr>
        <w:spacing w:line="480" w:lineRule="exact"/>
        <w:ind w:right="362" w:firstLineChars="2050" w:firstLine="5740"/>
        <w:jc w:val="right"/>
        <w:rPr>
          <w:rFonts w:ascii="宋体" w:hAnsi="宋体"/>
          <w:color w:val="000000"/>
          <w:sz w:val="28"/>
          <w:szCs w:val="28"/>
        </w:rPr>
      </w:pPr>
      <w:r w:rsidRPr="00EE774A">
        <w:rPr>
          <w:rFonts w:ascii="宋体" w:hAnsi="宋体" w:hint="eastAsia"/>
          <w:color w:val="000000"/>
          <w:sz w:val="28"/>
          <w:szCs w:val="28"/>
        </w:rPr>
        <w:t>中国建设银行</w:t>
      </w:r>
    </w:p>
    <w:p w:rsidR="00812F4C" w:rsidRDefault="00812F4C" w:rsidP="00555806">
      <w:pPr>
        <w:spacing w:line="480" w:lineRule="exact"/>
        <w:ind w:right="222" w:firstLineChars="200" w:firstLine="560"/>
        <w:jc w:val="right"/>
        <w:rPr>
          <w:rFonts w:ascii="宋体" w:hAnsi="宋体"/>
          <w:color w:val="000000"/>
          <w:sz w:val="28"/>
          <w:szCs w:val="28"/>
        </w:rPr>
      </w:pPr>
      <w:r>
        <w:rPr>
          <w:rFonts w:ascii="宋体" w:hAnsi="宋体" w:hint="eastAsia"/>
          <w:color w:val="000000"/>
          <w:sz w:val="28"/>
          <w:szCs w:val="28"/>
        </w:rPr>
        <w:t>2018</w:t>
      </w:r>
      <w:r w:rsidR="00555806">
        <w:rPr>
          <w:rFonts w:ascii="宋体" w:hAnsi="宋体" w:hint="eastAsia"/>
          <w:color w:val="000000"/>
          <w:sz w:val="28"/>
          <w:szCs w:val="28"/>
        </w:rPr>
        <w:t>年</w:t>
      </w:r>
      <w:r w:rsidR="00116B32">
        <w:rPr>
          <w:rFonts w:ascii="宋体" w:hAnsi="宋体" w:hint="eastAsia"/>
          <w:color w:val="000000"/>
          <w:sz w:val="28"/>
          <w:szCs w:val="28"/>
        </w:rPr>
        <w:t>2</w:t>
      </w:r>
      <w:r w:rsidR="00555806">
        <w:rPr>
          <w:rFonts w:ascii="宋体" w:hAnsi="宋体" w:hint="eastAsia"/>
          <w:color w:val="000000"/>
          <w:sz w:val="28"/>
          <w:szCs w:val="28"/>
        </w:rPr>
        <w:t>月</w:t>
      </w:r>
      <w:r w:rsidR="002E3D20">
        <w:rPr>
          <w:rFonts w:ascii="宋体" w:hAnsi="宋体" w:hint="eastAsia"/>
          <w:color w:val="000000"/>
          <w:sz w:val="28"/>
          <w:szCs w:val="28"/>
        </w:rPr>
        <w:t>6</w:t>
      </w:r>
      <w:r w:rsidR="00555806">
        <w:rPr>
          <w:rFonts w:ascii="宋体" w:hAnsi="宋体" w:hint="eastAsia"/>
          <w:color w:val="000000"/>
          <w:sz w:val="28"/>
          <w:szCs w:val="28"/>
        </w:rPr>
        <w:t>日</w:t>
      </w:r>
    </w:p>
    <w:p w:rsidR="00812F4C" w:rsidRDefault="00812F4C">
      <w:pPr>
        <w:widowControl/>
        <w:jc w:val="left"/>
        <w:rPr>
          <w:rFonts w:ascii="宋体" w:hAnsi="宋体"/>
          <w:color w:val="000000"/>
          <w:sz w:val="28"/>
          <w:szCs w:val="28"/>
        </w:rPr>
      </w:pPr>
    </w:p>
    <w:sectPr w:rsidR="00812F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97B" w:rsidRDefault="00AE197B" w:rsidP="00555806">
      <w:r>
        <w:separator/>
      </w:r>
    </w:p>
  </w:endnote>
  <w:endnote w:type="continuationSeparator" w:id="0">
    <w:p w:rsidR="00AE197B" w:rsidRDefault="00AE197B" w:rsidP="0055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97B" w:rsidRDefault="00AE197B" w:rsidP="00555806">
      <w:r>
        <w:separator/>
      </w:r>
    </w:p>
  </w:footnote>
  <w:footnote w:type="continuationSeparator" w:id="0">
    <w:p w:rsidR="00AE197B" w:rsidRDefault="00AE197B" w:rsidP="00555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745"/>
    <w:rsid w:val="00035553"/>
    <w:rsid w:val="000D3410"/>
    <w:rsid w:val="00116B32"/>
    <w:rsid w:val="00153C80"/>
    <w:rsid w:val="001F3745"/>
    <w:rsid w:val="002C12FB"/>
    <w:rsid w:val="002E3D20"/>
    <w:rsid w:val="00310A1E"/>
    <w:rsid w:val="00331DB9"/>
    <w:rsid w:val="00555806"/>
    <w:rsid w:val="00585789"/>
    <w:rsid w:val="006427FB"/>
    <w:rsid w:val="006655A7"/>
    <w:rsid w:val="00690A2C"/>
    <w:rsid w:val="007F1F77"/>
    <w:rsid w:val="00812F4C"/>
    <w:rsid w:val="00881B67"/>
    <w:rsid w:val="00A16E7A"/>
    <w:rsid w:val="00A66F45"/>
    <w:rsid w:val="00AE197B"/>
    <w:rsid w:val="00F50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8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8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5806"/>
    <w:rPr>
      <w:sz w:val="18"/>
      <w:szCs w:val="18"/>
    </w:rPr>
  </w:style>
  <w:style w:type="paragraph" w:styleId="a4">
    <w:name w:val="footer"/>
    <w:basedOn w:val="a"/>
    <w:link w:val="Char0"/>
    <w:uiPriority w:val="99"/>
    <w:unhideWhenUsed/>
    <w:rsid w:val="005558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5806"/>
    <w:rPr>
      <w:sz w:val="18"/>
      <w:szCs w:val="18"/>
    </w:rPr>
  </w:style>
  <w:style w:type="paragraph" w:styleId="a5">
    <w:name w:val="Balloon Text"/>
    <w:basedOn w:val="a"/>
    <w:link w:val="Char1"/>
    <w:uiPriority w:val="99"/>
    <w:semiHidden/>
    <w:unhideWhenUsed/>
    <w:rsid w:val="00555806"/>
    <w:rPr>
      <w:sz w:val="18"/>
      <w:szCs w:val="18"/>
    </w:rPr>
  </w:style>
  <w:style w:type="character" w:customStyle="1" w:styleId="Char1">
    <w:name w:val="批注框文本 Char"/>
    <w:basedOn w:val="a0"/>
    <w:link w:val="a5"/>
    <w:uiPriority w:val="99"/>
    <w:semiHidden/>
    <w:rsid w:val="00555806"/>
    <w:rPr>
      <w:rFonts w:ascii="Calibri" w:eastAsia="宋体" w:hAnsi="Calibri" w:cs="Times New Roman"/>
      <w:sz w:val="18"/>
      <w:szCs w:val="18"/>
    </w:rPr>
  </w:style>
  <w:style w:type="paragraph" w:styleId="a6">
    <w:name w:val="Normal (Web)"/>
    <w:basedOn w:val="a"/>
    <w:uiPriority w:val="99"/>
    <w:unhideWhenUsed/>
    <w:rsid w:val="00035553"/>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0355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8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8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55806"/>
    <w:rPr>
      <w:sz w:val="18"/>
      <w:szCs w:val="18"/>
    </w:rPr>
  </w:style>
  <w:style w:type="paragraph" w:styleId="a4">
    <w:name w:val="footer"/>
    <w:basedOn w:val="a"/>
    <w:link w:val="Char0"/>
    <w:uiPriority w:val="99"/>
    <w:unhideWhenUsed/>
    <w:rsid w:val="005558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55806"/>
    <w:rPr>
      <w:sz w:val="18"/>
      <w:szCs w:val="18"/>
    </w:rPr>
  </w:style>
  <w:style w:type="paragraph" w:styleId="a5">
    <w:name w:val="Balloon Text"/>
    <w:basedOn w:val="a"/>
    <w:link w:val="Char1"/>
    <w:uiPriority w:val="99"/>
    <w:semiHidden/>
    <w:unhideWhenUsed/>
    <w:rsid w:val="00555806"/>
    <w:rPr>
      <w:sz w:val="18"/>
      <w:szCs w:val="18"/>
    </w:rPr>
  </w:style>
  <w:style w:type="character" w:customStyle="1" w:styleId="Char1">
    <w:name w:val="批注框文本 Char"/>
    <w:basedOn w:val="a0"/>
    <w:link w:val="a5"/>
    <w:uiPriority w:val="99"/>
    <w:semiHidden/>
    <w:rsid w:val="00555806"/>
    <w:rPr>
      <w:rFonts w:ascii="Calibri" w:eastAsia="宋体" w:hAnsi="Calibri" w:cs="Times New Roman"/>
      <w:sz w:val="18"/>
      <w:szCs w:val="18"/>
    </w:rPr>
  </w:style>
  <w:style w:type="paragraph" w:styleId="a6">
    <w:name w:val="Normal (Web)"/>
    <w:basedOn w:val="a"/>
    <w:uiPriority w:val="99"/>
    <w:unhideWhenUsed/>
    <w:rsid w:val="00035553"/>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0355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16193">
      <w:bodyDiv w:val="1"/>
      <w:marLeft w:val="0"/>
      <w:marRight w:val="0"/>
      <w:marTop w:val="0"/>
      <w:marBottom w:val="0"/>
      <w:divBdr>
        <w:top w:val="none" w:sz="0" w:space="0" w:color="auto"/>
        <w:left w:val="none" w:sz="0" w:space="0" w:color="auto"/>
        <w:bottom w:val="none" w:sz="0" w:space="0" w:color="auto"/>
        <w:right w:val="none" w:sz="0" w:space="0" w:color="auto"/>
      </w:divBdr>
    </w:div>
    <w:div w:id="603417197">
      <w:bodyDiv w:val="1"/>
      <w:marLeft w:val="0"/>
      <w:marRight w:val="0"/>
      <w:marTop w:val="0"/>
      <w:marBottom w:val="0"/>
      <w:divBdr>
        <w:top w:val="none" w:sz="0" w:space="0" w:color="auto"/>
        <w:left w:val="none" w:sz="0" w:space="0" w:color="auto"/>
        <w:bottom w:val="none" w:sz="0" w:space="0" w:color="auto"/>
        <w:right w:val="none" w:sz="0" w:space="0" w:color="auto"/>
      </w:divBdr>
    </w:div>
    <w:div w:id="747968148">
      <w:bodyDiv w:val="1"/>
      <w:marLeft w:val="0"/>
      <w:marRight w:val="0"/>
      <w:marTop w:val="0"/>
      <w:marBottom w:val="0"/>
      <w:divBdr>
        <w:top w:val="none" w:sz="0" w:space="0" w:color="auto"/>
        <w:left w:val="none" w:sz="0" w:space="0" w:color="auto"/>
        <w:bottom w:val="none" w:sz="0" w:space="0" w:color="auto"/>
        <w:right w:val="none" w:sz="0" w:space="0" w:color="auto"/>
      </w:divBdr>
    </w:div>
    <w:div w:id="904729290">
      <w:bodyDiv w:val="1"/>
      <w:marLeft w:val="0"/>
      <w:marRight w:val="0"/>
      <w:marTop w:val="0"/>
      <w:marBottom w:val="0"/>
      <w:divBdr>
        <w:top w:val="none" w:sz="0" w:space="0" w:color="auto"/>
        <w:left w:val="none" w:sz="0" w:space="0" w:color="auto"/>
        <w:bottom w:val="none" w:sz="0" w:space="0" w:color="auto"/>
        <w:right w:val="none" w:sz="0" w:space="0" w:color="auto"/>
      </w:divBdr>
      <w:divsChild>
        <w:div w:id="770777515">
          <w:marLeft w:val="0"/>
          <w:marRight w:val="0"/>
          <w:marTop w:val="600"/>
          <w:marBottom w:val="900"/>
          <w:divBdr>
            <w:top w:val="none" w:sz="0" w:space="0" w:color="auto"/>
            <w:left w:val="none" w:sz="0" w:space="0" w:color="auto"/>
            <w:bottom w:val="none" w:sz="0" w:space="0" w:color="auto"/>
            <w:right w:val="none" w:sz="0" w:space="0" w:color="auto"/>
          </w:divBdr>
          <w:divsChild>
            <w:div w:id="1429352669">
              <w:marLeft w:val="0"/>
              <w:marRight w:val="0"/>
              <w:marTop w:val="0"/>
              <w:marBottom w:val="0"/>
              <w:divBdr>
                <w:top w:val="none" w:sz="0" w:space="0" w:color="auto"/>
                <w:left w:val="none" w:sz="0" w:space="0" w:color="auto"/>
                <w:bottom w:val="none" w:sz="0" w:space="0" w:color="auto"/>
                <w:right w:val="single" w:sz="6" w:space="30" w:color="EEEEEE"/>
              </w:divBdr>
              <w:divsChild>
                <w:div w:id="530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1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E:\&#26472;&#38639;&#29605;&#20132;&#25509;\&#24320;&#25918;&#24335;&#20135;&#21697;&#26376;&#24230;&#25259;&#38706;\201712\201801\2018&#24180;1&#26376;&#36164;&#20135;&#27719;&#24635;&#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472;&#38639;&#29605;&#20132;&#25509;\&#24320;&#25918;&#24335;&#20135;&#21697;&#26376;&#24230;&#25259;&#38706;\201712\201801\2018&#24180;1&#26376;&#36164;&#20135;&#27719;&#24635;&#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26472;&#38639;&#29605;&#20132;&#25509;\&#24320;&#25918;&#24335;&#20135;&#21697;&#26376;&#24230;&#25259;&#38706;\201801\2018&#24180;1&#26376;&#36164;&#20135;&#27719;&#24635;&#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6615965687215928E-2"/>
          <c:y val="6.6436343034213238E-2"/>
          <c:w val="0.64213635490685617"/>
          <c:h val="0.81287731104096572"/>
        </c:manualLayout>
      </c:layout>
      <c:pie3DChart>
        <c:varyColors val="1"/>
        <c:ser>
          <c:idx val="0"/>
          <c:order val="0"/>
          <c:dPt>
            <c:idx val="0"/>
            <c:bubble3D val="0"/>
          </c:dPt>
          <c:dPt>
            <c:idx val="1"/>
            <c:bubble3D val="0"/>
          </c:dPt>
          <c:dLbls>
            <c:showLegendKey val="0"/>
            <c:showVal val="1"/>
            <c:showCatName val="0"/>
            <c:showSerName val="0"/>
            <c:showPercent val="0"/>
            <c:showBubbleSize val="0"/>
            <c:showLeaderLines val="1"/>
          </c:dLbls>
          <c:cat>
            <c:strRef>
              <c:f>'2018年1月'!$A$302:$A$303</c:f>
              <c:strCache>
                <c:ptCount val="2"/>
                <c:pt idx="0">
                  <c:v>现金及债券类</c:v>
                </c:pt>
                <c:pt idx="1">
                  <c:v>融资类</c:v>
                </c:pt>
              </c:strCache>
            </c:strRef>
          </c:cat>
          <c:val>
            <c:numRef>
              <c:f>'2018年1月'!$B$302:$B$303</c:f>
              <c:numCache>
                <c:formatCode>0.00%</c:formatCode>
                <c:ptCount val="2"/>
                <c:pt idx="0">
                  <c:v>7.0423274505523825E-2</c:v>
                </c:pt>
                <c:pt idx="1">
                  <c:v>0.92957672549161185</c:v>
                </c:pt>
              </c:numCache>
            </c:numRef>
          </c:val>
        </c:ser>
        <c:dLbls>
          <c:showLegendKey val="0"/>
          <c:showVal val="0"/>
          <c:showCatName val="0"/>
          <c:showSerName val="0"/>
          <c:showPercent val="0"/>
          <c:showBubbleSize val="0"/>
          <c:showLeaderLines val="1"/>
        </c:dLbls>
      </c:pie3DChart>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1"/>
            <c:showCatName val="0"/>
            <c:showSerName val="0"/>
            <c:showPercent val="0"/>
            <c:showBubbleSize val="0"/>
            <c:showLeaderLines val="1"/>
          </c:dLbls>
          <c:cat>
            <c:strRef>
              <c:f>'2018年1月'!$A$311:$A$315</c:f>
              <c:strCache>
                <c:ptCount val="5"/>
                <c:pt idx="0">
                  <c:v>A</c:v>
                </c:pt>
                <c:pt idx="1">
                  <c:v>A+</c:v>
                </c:pt>
                <c:pt idx="2">
                  <c:v>AA</c:v>
                </c:pt>
                <c:pt idx="3">
                  <c:v>AA+</c:v>
                </c:pt>
                <c:pt idx="4">
                  <c:v>AAA</c:v>
                </c:pt>
              </c:strCache>
            </c:strRef>
          </c:cat>
          <c:val>
            <c:numRef>
              <c:f>'2018年1月'!$B$311:$B$315</c:f>
              <c:numCache>
                <c:formatCode>0.00%</c:formatCode>
                <c:ptCount val="5"/>
                <c:pt idx="0">
                  <c:v>0.23010735060199464</c:v>
                </c:pt>
                <c:pt idx="1">
                  <c:v>0.36237378047558211</c:v>
                </c:pt>
                <c:pt idx="2">
                  <c:v>0.18118689023779105</c:v>
                </c:pt>
                <c:pt idx="3">
                  <c:v>0.18118689023779105</c:v>
                </c:pt>
                <c:pt idx="4">
                  <c:v>4.5145088446841231E-2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'2018年1月'!$B$318</c:f>
              <c:strCache>
                <c:ptCount val="1"/>
                <c:pt idx="0">
                  <c:v>1月各行业</c:v>
                </c:pt>
              </c:strCache>
            </c:strRef>
          </c:tx>
          <c:invertIfNegative val="0"/>
          <c:cat>
            <c:strRef>
              <c:f>'2018年1月'!$A$319:$A$323</c:f>
              <c:strCache>
                <c:ptCount val="5"/>
                <c:pt idx="0">
                  <c:v>采矿业</c:v>
                </c:pt>
                <c:pt idx="1">
                  <c:v>建筑业</c:v>
                </c:pt>
                <c:pt idx="2">
                  <c:v>交通运输、仓储和邮政业</c:v>
                </c:pt>
                <c:pt idx="3">
                  <c:v>批发和零售业</c:v>
                </c:pt>
                <c:pt idx="4">
                  <c:v>租赁和商务服务业</c:v>
                </c:pt>
              </c:strCache>
            </c:strRef>
          </c:cat>
          <c:val>
            <c:numRef>
              <c:f>'2018年1月'!$B$319:$B$323</c:f>
              <c:numCache>
                <c:formatCode>0.00%</c:formatCode>
                <c:ptCount val="5"/>
                <c:pt idx="0">
                  <c:v>0.18118689023779105</c:v>
                </c:pt>
                <c:pt idx="1">
                  <c:v>0.22633197868463228</c:v>
                </c:pt>
                <c:pt idx="2">
                  <c:v>4.8920460364203583E-2</c:v>
                </c:pt>
                <c:pt idx="3">
                  <c:v>0.18118689023779105</c:v>
                </c:pt>
                <c:pt idx="4">
                  <c:v>0.36237378047558211</c:v>
                </c:pt>
              </c:numCache>
            </c:numRef>
          </c:val>
        </c:ser>
        <c:ser>
          <c:idx val="1"/>
          <c:order val="1"/>
          <c:tx>
            <c:strRef>
              <c:f>'2018年1月'!$C$318</c:f>
              <c:strCache>
                <c:ptCount val="1"/>
                <c:pt idx="0">
                  <c:v>12月各行业</c:v>
                </c:pt>
              </c:strCache>
            </c:strRef>
          </c:tx>
          <c:invertIfNegative val="0"/>
          <c:cat>
            <c:strRef>
              <c:f>'2018年1月'!$A$319:$A$323</c:f>
              <c:strCache>
                <c:ptCount val="5"/>
                <c:pt idx="0">
                  <c:v>采矿业</c:v>
                </c:pt>
                <c:pt idx="1">
                  <c:v>建筑业</c:v>
                </c:pt>
                <c:pt idx="2">
                  <c:v>交通运输、仓储和邮政业</c:v>
                </c:pt>
                <c:pt idx="3">
                  <c:v>批发和零售业</c:v>
                </c:pt>
                <c:pt idx="4">
                  <c:v>租赁和商务服务业</c:v>
                </c:pt>
              </c:strCache>
            </c:strRef>
          </c:cat>
          <c:val>
            <c:numRef>
              <c:f>'2018年1月'!$C$319:$C$323</c:f>
              <c:numCache>
                <c:formatCode>0.00%</c:formatCode>
                <c:ptCount val="5"/>
                <c:pt idx="0">
                  <c:v>0.18975332068311196</c:v>
                </c:pt>
                <c:pt idx="1">
                  <c:v>0.18975332068311196</c:v>
                </c:pt>
                <c:pt idx="2">
                  <c:v>5.1233396584440226E-2</c:v>
                </c:pt>
                <c:pt idx="3">
                  <c:v>0.18975332068311196</c:v>
                </c:pt>
                <c:pt idx="4">
                  <c:v>0.37950664136622392</c:v>
                </c:pt>
              </c:numCache>
            </c:numRef>
          </c:val>
        </c:ser>
        <c:ser>
          <c:idx val="2"/>
          <c:order val="2"/>
          <c:tx>
            <c:strRef>
              <c:f>'2018年1月'!$D$318</c:f>
              <c:strCache>
                <c:ptCount val="1"/>
                <c:pt idx="0">
                  <c:v>行业变化</c:v>
                </c:pt>
              </c:strCache>
            </c:strRef>
          </c:tx>
          <c:invertIfNegative val="0"/>
          <c:cat>
            <c:strRef>
              <c:f>'2018年1月'!$A$319:$A$323</c:f>
              <c:strCache>
                <c:ptCount val="5"/>
                <c:pt idx="0">
                  <c:v>采矿业</c:v>
                </c:pt>
                <c:pt idx="1">
                  <c:v>建筑业</c:v>
                </c:pt>
                <c:pt idx="2">
                  <c:v>交通运输、仓储和邮政业</c:v>
                </c:pt>
                <c:pt idx="3">
                  <c:v>批发和零售业</c:v>
                </c:pt>
                <c:pt idx="4">
                  <c:v>租赁和商务服务业</c:v>
                </c:pt>
              </c:strCache>
            </c:strRef>
          </c:cat>
          <c:val>
            <c:numRef>
              <c:f>'2018年1月'!$D$319:$D$323</c:f>
              <c:numCache>
                <c:formatCode>0.00%</c:formatCode>
                <c:ptCount val="5"/>
                <c:pt idx="0">
                  <c:v>-8.566430445320905E-3</c:v>
                </c:pt>
                <c:pt idx="1">
                  <c:v>3.6578658001520326E-2</c:v>
                </c:pt>
                <c:pt idx="2">
                  <c:v>-2.312936220236643E-3</c:v>
                </c:pt>
                <c:pt idx="3">
                  <c:v>-8.566430445320905E-3</c:v>
                </c:pt>
                <c:pt idx="4">
                  <c:v>-1.713286089064181E-2</c:v>
                </c:pt>
              </c:numCache>
            </c:numRef>
          </c:val>
        </c:ser>
        <c:dLbls>
          <c:showLegendKey val="0"/>
          <c:showVal val="0"/>
          <c:showCatName val="0"/>
          <c:showSerName val="0"/>
          <c:showPercent val="0"/>
          <c:showBubbleSize val="0"/>
        </c:dLbls>
        <c:gapWidth val="150"/>
        <c:axId val="47923584"/>
        <c:axId val="47925120"/>
      </c:barChart>
      <c:catAx>
        <c:axId val="47923584"/>
        <c:scaling>
          <c:orientation val="minMax"/>
        </c:scaling>
        <c:delete val="0"/>
        <c:axPos val="l"/>
        <c:numFmt formatCode="General" sourceLinked="1"/>
        <c:majorTickMark val="out"/>
        <c:minorTickMark val="none"/>
        <c:tickLblPos val="nextTo"/>
        <c:crossAx val="47925120"/>
        <c:crosses val="autoZero"/>
        <c:auto val="1"/>
        <c:lblAlgn val="ctr"/>
        <c:lblOffset val="100"/>
        <c:noMultiLvlLbl val="0"/>
      </c:catAx>
      <c:valAx>
        <c:axId val="47925120"/>
        <c:scaling>
          <c:orientation val="minMax"/>
          <c:max val="1"/>
          <c:min val="-0.8"/>
        </c:scaling>
        <c:delete val="0"/>
        <c:axPos val="b"/>
        <c:majorGridlines/>
        <c:numFmt formatCode="0%" sourceLinked="0"/>
        <c:majorTickMark val="out"/>
        <c:minorTickMark val="none"/>
        <c:tickLblPos val="nextTo"/>
        <c:crossAx val="47923584"/>
        <c:crosses val="autoZero"/>
        <c:crossBetween val="between"/>
        <c:majorUnit val="0.2"/>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杨雯玥</dc:creator>
  <cp:lastModifiedBy>admin</cp:lastModifiedBy>
  <cp:revision>7</cp:revision>
  <dcterms:created xsi:type="dcterms:W3CDTF">2018-02-02T14:23:00Z</dcterms:created>
  <dcterms:modified xsi:type="dcterms:W3CDTF">2018-02-06T02:42:00Z</dcterms:modified>
</cp:coreProperties>
</file>